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420"/>
          <w:tab w:val="left" w:pos="2310"/>
          <w:tab w:val="left" w:pos="4200"/>
          <w:tab w:val="left" w:pos="5355"/>
          <w:tab w:val="left" w:pos="6090"/>
          <w:tab w:val="left" w:pos="7560"/>
          <w:tab w:val="right" w:pos="77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 xml:space="preserve"> 一、积累与运用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（38分）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310"/>
          <w:tab w:val="left" w:pos="4200"/>
          <w:tab w:val="left" w:pos="5355"/>
          <w:tab w:val="left" w:pos="6090"/>
          <w:tab w:val="left" w:pos="7560"/>
          <w:tab w:val="right" w:pos="77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将下列短语认真誊写在方格内。（2分）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化而为鸟，其名为鹏。</w:t>
      </w:r>
      <w:bookmarkStart w:id="0" w:name="_GoBack"/>
      <w:bookmarkEnd w:id="0"/>
    </w:p>
    <w:tbl>
      <w:tblPr>
        <w:tblStyle w:val="14"/>
        <w:tblW w:w="5917" w:type="dxa"/>
        <w:jc w:val="center"/>
        <w:tblInd w:w="6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592"/>
        <w:gridCol w:w="592"/>
        <w:gridCol w:w="591"/>
        <w:gridCol w:w="591"/>
        <w:gridCol w:w="591"/>
        <w:gridCol w:w="592"/>
        <w:gridCol w:w="592"/>
        <w:gridCol w:w="592"/>
        <w:gridCol w:w="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6" w:hRule="atLeast"/>
          <w:jc w:val="center"/>
        </w:trPr>
        <w:tc>
          <w:tcPr>
            <w:tcW w:w="5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92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在下列横线上默写相应的内容。（10分）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（1）木受绳则直，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  （《荀子·劝学》）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烽火连三月，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《春望》）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shd w:val="clear" w:color="auto" w:fill="FFFFFF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</w:rPr>
        <w:t>君看一叶舟,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。  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</w:rPr>
        <w:t>（范仲淹《江上渔者》）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，干戈寥落四周星。（文天祥《过零丁洋》）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，吟鞭东指即天涯。（龚自珍《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》）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（6）天上闪烁的星星好象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，它跟我们这样地接近哪！黑的山峰象巨人一样矗立在面前。（陆定一《老山界》）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（7）近日，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学校开展纪念红军长征胜利８０周年活动，为了歌颂红军战士乐观面对雪山天险的大无畏精神，你可以借用毛泽东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《七律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长征》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中的诗句：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05" w:right="0" w:rightChars="0" w:hanging="120" w:hangingChars="5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3. 阅读下面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语句，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按要求答题。（6分）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①我从开着的窗子望进去，看见同学们都在自己的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zuò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位上了；韩麦尔先生呢，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来踱去，胳膊底下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xié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着那怕人的铁戒尺。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（都德《最后一课》）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wave"/>
        </w:rPr>
        <w:t>彭德怀猝然拨出手枪，对准战马扣动了扳机。随着撕袭人心的枪声，战马缓缓地倒在草地上。警卫员疯了似的扑向战马……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（王朝柱《长征》节选）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③财主夫人一听是女孩，有些不高兴，但是看见那位妈妈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形容心神不定、非常惊慌、行动失常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的样子，除了答应也没有别的办法了。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（川端康成《母亲的心》）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（1）给加点字注音，或根据拼音写汉字。(3分)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72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zuò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来踱去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xié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（2）画波浪线的句子有两个错别字，请找出来并改正。(2分)</w:t>
      </w:r>
    </w:p>
    <w:p>
      <w:pPr>
        <w:keepNext w:val="0"/>
        <w:keepLines w:val="0"/>
        <w:pageBreakBefore w:val="0"/>
        <w:widowControl/>
        <w:tabs>
          <w:tab w:val="center" w:pos="457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72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 xml:space="preserve"> 改为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 xml:space="preserve"> 改为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（3）将语段中画横线的句子概括为一个成语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下列句子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  <w:lang w:val="zh-CN"/>
        </w:rPr>
        <w:t>没有语病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 xml:space="preserve">的一句是（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 xml:space="preserve"> 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zh-CN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通过中华美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食的多个侧面，使大家了解了中华饮食的文化。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朝鲜半岛气氛更加紧张的原因是美韩进行联合军演导致的。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生活中，我们只有经历了挫折，才能够懂得怎样面对挫折。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经过努力，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大家进出校园的交通安全和事故隐患有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 将①—④句填在横线上，顺序最恰当的一项是（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时间也真是不可捉摸，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，诸如此类，都显示时间的印痕。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①例如撕去的日历，飘落的秋叶，老人的白发，美女眼角的鱼尾纹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②无形无影，无声无息，无光无色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③随手掇拾几个生活细节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④然而，时间却又无处不在，无往而不在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A．②④③①   B．③①④②    C．①②④③    D．④②③①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6.为下面的漫画拟一个标题，并结合漫画的内容阐释标题的含义。（2分）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"http://res.tongyi.com/resources/article/student/junior/2010/0427/yuwen/01.files/image019.gif"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467100" cy="1171575"/>
            <wp:effectExtent l="0" t="0" r="0" b="9525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r:link="rId8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（1）标题（1分)：___________________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（2）含义（1分）：______________________________________________________________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名著阅读。（6分）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（1）阅读下列名著选段，回答问题。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到这篱笆完成时为止，我一直把我的三只小羊拴在最好的地方，使它们尽可能地在我身边吃东西，同我混熟。我常常带一些麦穗或一把谷子，让它们从我手上吃。篱笆修好后，我放开它们，让它们在篱笆内自由走动，它们老是跟在我后面咩咩地叫，求我给它们一把谷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如愿以偿，一年半以后，我有大大小小十二只羊，又过了两年，除了杀掉吃掉之外我的羊增加到三十四只。这以后，我又圈了五六块地放养羊群，同时，我还插了一些小的篱笆，需要捉住它们的时候，就把它们赶到小篱笆里，五块地之间彼此还有门相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选段出自名著《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 ，作者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（姓名），主要叙写了主人公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的故事，表现他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的特点。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（2）何敬平的《把牢底坐穿》选自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，这部名著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是中国人民解放事业英勇献身的革命烈士的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HYPERLINK "http://baike.so.com/doc/74425-78584.html" \t "_blank"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Style w:val="13"/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</w:rPr>
        <w:t>诗词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现代著名诗人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（人名）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编辑。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建湖中学开展“长城”专题实践活动，请你参与，并完成下列任务。（8分）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（1）学校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电视台拟拍摄《话说长城》的电视片，计划从“建筑”“历史”“战争”“文学”“旅游”等角度各拍一集，请你参照已经定好的标题，从其他四个角度中另选两个写出小标题。（2分）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示例：建筑——巧夺天工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仿写：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tabs>
          <w:tab w:val="left" w:pos="768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（2）中国人对长城有着独特的情结，请你说说下面语句的深刻含义。（2分）</w:t>
      </w:r>
    </w:p>
    <w:p>
      <w:pPr>
        <w:keepNext w:val="0"/>
        <w:keepLines w:val="0"/>
        <w:pageBreakBefore w:val="0"/>
        <w:tabs>
          <w:tab w:val="left" w:pos="768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起来！不愿做奴隶的人们！把我们的血肉，筑成我们新的长城！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（《义勇军进行曲》）</w:t>
      </w:r>
    </w:p>
    <w:p>
      <w:pPr>
        <w:keepNext w:val="0"/>
        <w:keepLines w:val="0"/>
        <w:pageBreakBefore w:val="0"/>
        <w:tabs>
          <w:tab w:val="left" w:pos="768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（3）中国广告长城奖，被誉为“中国广告界的奥斯卡”。请你为所征集的两幅公益广告，配上与长城元素有关的广告语。（2分）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600" w:firstLineChars="25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41195" cy="1393190"/>
            <wp:effectExtent l="0" t="0" r="1905" b="16510"/>
            <wp:docPr id="1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02155" cy="1423035"/>
            <wp:effectExtent l="0" t="0" r="17145" b="5715"/>
            <wp:docPr id="1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2155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图一                                   图二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开展辩论赛。辩题为：“如果长城某一段倒塌了，是在原址上重建还是原样封存为废墟？”正方陈述：“我方认为，应该在原址上重建。重建是对长城的保护，历史上这样的重建就有过多次；不然，我们今天只能从书籍中观贯长城全貌了。” 请你从反方的角度，写一段辩论词。（2分）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>■品味感悟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 xml:space="preserve"> 二、阅读理解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（42分）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（一）阅读下面诗歌，完成9～10题。（6分）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泊秦淮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杜牧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烟笼寒水月笼沙，夜泊秦淮近酒家。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商女不知亡国恨，隔江犹唱《后庭花》。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9. 这首诗押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韵。从表达方式看，第一句是描写，第二句是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，第三、四句则是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10. “烟笼寒水月笼沙”一句描写了怎样的景象？全诗抒发了作者什么思想感情？（3分）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（二）阅读下面文言文，完成11～14题。（13分）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晏子使楚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晏子将使楚。楚王闻之，谓左右曰：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齐之习辞者也，今方来，吾欲辱之，何以也？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左右对曰：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为其来也，臣请缚一人，过王而行。王曰，何为者也？对曰，齐人也。王曰，何坐？曰，坐盗。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晏子至，楚王赐晏子酒。酒酣，吏二缚一人诣王。王日：“缚者曷为者也?”对曰：“齐人也，坐盗。”王视晏子曰：“齐人固善盗乎?”晏子避席对曰：”晏闻之，橘生淮南则为橘，生于淮北则为枳，叶徒相似，其实味不同。所以然者何?水土异也。今民生长于齐不盗，入楚则盗，得无楚之水土使民善盗耶?”王笑日：“圣人非所与熙也，寡人反取病焉。”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（选自《晏子春秋》）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【链接】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晋平公与群臣饮，饮酣，乃喟然叹曰：“莫乐为人君，惟其言而莫之违。”援琴撞之。公被衽而避，琴坏于壁。公曰：“太师谁撞？”师旷曰：“今者有小人言侧者，故撞之。”公曰：“寡人也。”师旷曰：“哑！是非君人者之言也。”左右请除之。公曰：“释之，以为寡人戒。”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（选自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《师旷撞晋平公》）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注释：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师旷，字子野，是春秋后期晋国宫廷中的盲人乐师。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11.解释下列句中加点的词。（4分）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吾欲辱之，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em w:val="dot"/>
        </w:rPr>
        <w:t>何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以也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（2）圣人非所与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em w:val="dot"/>
        </w:rPr>
        <w:t>熙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晋平公与群臣饮，饮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酣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琴撞之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用“／”标出下列句子朗读停顿，标两处。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违 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13.把下面句子译成现代汉语。（4分）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（1）叶徒相似，其实味不同。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释之，以为寡人戒。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晏子和师旷都是“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习辞者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”，你更欣赏哪一个的说话艺术？请说说你的理由。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（三）阅读课文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《草》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选段，完成15～17题。（7分）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杨光不安地走过去。他深情地注视着那张熟悉的脸，却不由得大吃一惊：由于疾病的折磨，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这位敬爱的首长面容变化多大呵!他觉得心头像刀在绞，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眼睛一阵酸涩，竟然连敬礼也忘了。 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周副主席显然刚从昏迷中醒来。他费了好大劲，才把身躯往担架边上移开了些，然后，拉住杨光的衣角，把他拽到担架空出的半边坐下来。 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靠着警卫员的扶持，周副主席在担架上半坐起来。他慢慢抚摸着杨光那湿漉漉的衣服，又摸摸杨光的额头，亲切地说道：“这么说，你们是吃了有毒的野菜?”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周副主席又举起那棵野菜看了看，慢慢地把它放进嘴里。医生惊呼着扑过来，野菜已经被咬下了一点。 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周副主席那干裂的嘴唇闭住了，浓密的胡须不停地抖动着，一双浓眉渐渐皱紧了。嚼了一阵，吐掉了残渣，把那棵野菜还给杨光，嘱咐道：“你记着，刚进嘴的时候，有点涩，越嚼越苦。”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15.概述选段叙述的主要内容。（2分）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16.划横线语句主要运用了怎样的人物描写手法？有何作用？（3分）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医生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”为什么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惊呼着扑过来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？结合选文内容分析。（2分）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（四）阅读下面记叙文，完成18～21题。（16分）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614" w:firstLineChars="15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父子的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母校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3830" w:firstLineChars="1596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韦如辉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父亲对儿子说起他的母校，腮边的胡渣儿都飞快地跳起了舞。父亲说，那操场，那教学楼，那梧桐树。父亲放下手中的锄头，夸张地打开自己的双臂，语无伦次地说，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那个大啊!那家伙，那个高啊!那个美啊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儿子的思想，随着父亲夸张的动作，鸽子一样地飞向远方。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父亲放下双臂，风摆树叶似的抖着右手又说，还有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那教室，那家伙，开阔敞亮，窗明几净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。父亲从嘴里喷发出的唾沫和浓重的烟草味，在阳光下的田野上肆无忌惮地游走。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儿子屏住呼吸，全神贯注地看完父亲一连串的表演，最后才语气稚嫩地问，爸，你的母校真的那么好吗?儿子不是不相信父亲的话，实在是儿子没见过被父亲夸奖得如此美好的学校。父亲似乎不高兴，一脸愠色地拨弄了—下儿子的脑袋。儿子的脑袋，弹簧似的晃了晃。父亲语气凝重地说，你小子，我说的还能有假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儿子的梦里，就有了父亲的母校。有了那操场，那教室，那高楼，那梧桐树。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从村外一步三摇地走来。背上压着山一样大捆的柴草。眼看就要入冬了，父亲必须用这些柴草，认真地对付这个即将到来的寒冷冬天。儿子似乎很有眼色，每当喘着粗气的父亲将要蹲下放柴草的时候，儿子都会从柴草的底下扶上一把。儿子这一把的力气尽管很弱小，但的确能够减少父亲身体弯曲的痛苦。父亲夸，好儿子！儿子笑了笑，两颗俏皮的虎牙闪动在父亲的眼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有一天，儿子扶下父亲背上的最后一捆柴草。儿子请求，爸，带我去看一看你的母校，好吗？对于儿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子的请求，父亲觉得既在意料之外，又在意料之中。父亲认真地吐一口烟雾，才对儿子说，真想去？儿子努力地点了点头，嘴里坚定地说，想！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第二天，田地里的浓雾还没有淡下来的时候，父子俩就上路了。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边走边对儿子说，我的母校在县城，离咱家可远了。得翻过两条河，再坐三个钟头的车才能到达啊。父亲说到最后一个“啊”字，诗人般抒发了一串长音。儿子想说，爸，别说了，您已经说过无数遍了。然而，儿子没有说，儿子怕父亲不高兴，怕父亲改变主意，怕父亲不带自己去他美丽的母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风吹到脸上，夹杂着雾气的潮湿，多少有点儿刺骨的感觉。但儿子身上很快淌了汗，而且额上的汗珠已如小虫子似的爬来爬去。父亲转过身来问，累吗？爸驮你一会儿。儿子咬紧牙关说，不要！然后把胸脯挺得树一样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临近中午的时候，父子俩几经周折才到了县城。县城真是个好地方，儿子从来没去过县城，儿子的好奇心被极大地调动起来了。儿子从心眼里羡慕父亲，父亲是个了不起的人物，他的母校能在县城，他能在县城里读书，真是了不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走到一块开阔地，父亲一场兴奋，眼睛里放射出万丈光芒。父亲说，看，这块，就是母校的操场，那家伙。父亲的语气里跳动着数以万计个惊喜的细胞。儿子满眼惊奇，眼神随着操场的开阔地而延伸而翻腾而跳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用手一指，看，那个四层楼，就是我们的教师哩。我的班在三楼，最东头那个门，看见了没有？儿子当然看到了。儿子的眼睛里是一座巍然屹立的高楼。儿子心想，什么时候自己能到那教室里读一天的书，哪怕是一天也就心满意足了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父亲嘴里还在说，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信不信？那家伙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从县城回来，儿子整夜做梦。儿子的梦，当然都与父亲的母校有关。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后来，儿子真到县城读书。儿子对父亲说，你读书的那个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学校，就是我的母校，那家伙！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再后来，儿子考上了大学，儿子成了城里人。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儿子什么都清楚了。父亲没上过一天的学，父亲在城里根本就没有什么母校。父亲心里装的那几个字，还是从扫盲班拾来的。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那么父亲为什么称自己在城里有母校呢？为什么又把体委大厦和体委操场指鹿为马呢？儿子当然清楚，儿子清楚得眼睛里蓄满了泪水。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6360" w:firstLineChars="26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（选自《微型小说选刊》）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18.文章的主要故事情节是什么？请依次分点概述。（4分）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27940" cy="20320"/>
            <wp:effectExtent l="0" t="0" r="0" b="0"/>
            <wp:docPr id="1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12" w:right="0" w:rightChars="0" w:hanging="470" w:hangingChars="196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19.下列语言描写不符合“父亲”身份的是哪一句？请结合文章内容说明理由。（4分）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（1）“那个大啊!那家伙，那个高啊!那个美啊!”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（2）“那教室，那家伙，开阔敞亮，窗明几净。”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（3）“信不信？那家伙！”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27940" cy="20320"/>
            <wp:effectExtent l="0" t="0" r="0" b="0"/>
            <wp:docPr id="1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 请从修辞手法、思想内容两个方面，赏析下列优美的语句。（4分）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但儿子身上很快淌了汗，而且额上的汗珠已如小虫子似的爬来爬去。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27940" cy="20320"/>
            <wp:effectExtent l="0" t="0" r="0" b="0"/>
            <wp:docPr id="2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21.小说中“父亲”是一个怎样的人？请写出两点，并具体分析。（4分）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>■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 xml:space="preserve">放飞个性   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三、作文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22．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请以“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触动心灵的力量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”为题，写一篇文章。要求：①除诗歌外，文体不限。②不少于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字。③文中不要出现真实的地名、校名、人名。（40分）</w:t>
      </w:r>
    </w:p>
    <w:tbl>
      <w:tblPr>
        <w:tblStyle w:val="14"/>
        <w:tblW w:w="88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443"/>
        <w:gridCol w:w="442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874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5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right="0" w:rightChars="0" w:firstLine="6686" w:firstLineChars="2775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page">
              <wp:posOffset>12496800</wp:posOffset>
            </wp:positionV>
            <wp:extent cx="393700" cy="482600"/>
            <wp:effectExtent l="0" t="0" r="6350" b="12700"/>
            <wp:wrapNone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八年级语文参考答案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一、38分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72" w:firstLineChars="196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字迹优美，得2分；字迹工整，得1分；潦草不清，不得分。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金就砺则利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（2）家书抵万金 杜甫（3）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出入风波里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辛苦遭逢起一经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（5）浩荡离愁白日斜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己亥杂诗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黑色幕上缀着的宝石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（7）更喜岷山千里雪，三军过后尽开颜（每空1分，计10分）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座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duó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挟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（2）拨→拔 袭→裂 （3）失魂落魄（每点1分，计6分）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C（计2分）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A（计2分）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（1）标题：同舟不共济。（意对即可，计1分）（2）含义：团结合作是获取成功的必备条件。（意对即可，计1分）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（1）鲁滨孙漂流记 丹尼尔·笛福 在荒岛驯养羊 勤劳、聪明、乐观（每空1分，其中“特点”至少写出两个，计4分）（2）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革命烈士诗抄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HYPERLINK "http://baike.so.com/doc/5917389-6130305.html" \t "_blank"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Style w:val="13"/>
          <w:rFonts w:hint="eastAsia" w:asciiTheme="minorEastAsia" w:hAnsiTheme="minorEastAsia" w:eastAsiaTheme="minorEastAsia" w:cstheme="minorEastAsia"/>
          <w:color w:val="auto"/>
          <w:sz w:val="24"/>
          <w:szCs w:val="24"/>
          <w:u w:val="none"/>
        </w:rPr>
        <w:t>萧三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（每点1分，计2分）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（1）示例：历史—千年沧桑；战争—金戈铁马；文学—诗词沃土；旅游—登临胜地。（任选两个，每点1分，计2分）（2）示例：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表现了中华儿女在民族存亡的危急关头，万众一心，团结一致，用自己的鲜血和生命捍卫祖国的坚强决心。（或“用自己的鲜血和生命捍卫祖国的坚强决心”也可，意思对即可，计2分）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（3）图一：富国强兵，共筑长城。图二：如果你还想在太空中看到万里长城的身影，请支持环保！（意对即可，每点1分，计2分）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示例：我方认为，不应该在原址上重建。（或“原样封存为废墟”） 依据一（要点）：封存废墟是对长城的更重要的尊重与保护，通过这个废墟可以感受长城的精神价值；重建不一定是对长城的保护，因为复制己经改变了原来品味。依据二（要点）：历史上这样的重建是当时条件限制决定的，自然有它的道理；但我们现在不是当时了，例如不需要依靠长城抵防外敌入侵。（答出一点依据即可，每点1分，计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二、42分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（一）（6分）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押a 韵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记叙 议论（每空1分，计3分）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示例：描写了迷蒙冷寂的景象。抒发了诗人对醉生梦死的统治者无比愤慨之情,以及忧国忧民的思想感情。（每点1分，计3分）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（二）（13分）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（1）什么办法（2）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熙，同“嬉”，开玩笑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（3）酒喝得很高兴（4）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执持，拿（每空1分，计4分）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惟 其 言 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而 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莫 之 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。(计2分)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 xml:space="preserve"> 13.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生长在淮南的橘子与长在淮北的枳，两者的叶子相似，但它们果实的味道是不同的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放了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吧,我要把这件事(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“师旷讲的话”)当作一个警告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。（意对即可，每题2分，计4分）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示例一：我欣赏晏子的说话艺术，他在无法澄清“齐人坐盗”这一事实的情况下。巧用类比进行反驳，片言只语间化被动为主动，既捍卫了国家的尊严，又不失礼节。示例二：我欣赏师旷的说话艺术，他先直话曲说，巧妙地将将晋平公说成是“小人”，引起晋平公的重视，再因势利导，让晋平公认识到自己的错误，达到了劝谏的目的。（选择一个即可，明确对象1分，理由2分，计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（三）（7分）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周副主席不怕危险亲自尝有毒野菜。（关键词“周副主席”、“毒”各1分，计2分）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心理描写手法。充分表现了杨光对周副主席无比关心、敬重之情，侧面表现了周副主席令人敬仰的伟大形象。（手法1分，作用2分，计3分）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“惊呼”是因为医生知道周副主席病重，再尝有毒野菜会有生命危险；“扑”因为医生想用行动阻止周副主席尝有毒野菜，时间紧，情势危急。（每点1分，计2分）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（四）（16分）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①父亲对儿子夸“母校”。 ②父亲带儿子去看“母校”。③ 儿子进了“母校”。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儿子明白了父亲其实没有“母校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每点1分，计4分）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 19.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示例：第（2）句，下文提到父亲没上过一天的学，父亲心里装的那几个字，还是从扫盲班拾来的，因此他不可能说出“开阔敞亮，窗明几净”这样富有文采的词句。（每点1分，计4分）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示例：运用比喻修辞手法，将“汗珠”比喻为“小虫子”，形象地表现了儿子走路的艰难和期望看到父亲母校的急切心情。（每点1分，计4分）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 21.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①“父亲”是个教子有方的人，他对儿子的教育是通过虚拟的美好“母校”，激发儿子的上进心。②“父亲”是个有眼光的人，他深知有知识有文化能改变人生的道理。③从“爱子之情”或“任劳任怨”作答亦可。（“教子有方”必答，否则扣2分，其他意对即可，计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三、40分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作文（评分标准参照中考要求，建议切入分为28分，计40分）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06427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553B6B"/>
    <w:rsid w:val="54994B51"/>
    <w:rsid w:val="566F6198"/>
    <w:rsid w:val="584C237B"/>
    <w:rsid w:val="58BC7B9C"/>
    <w:rsid w:val="590A3B91"/>
    <w:rsid w:val="596A3D42"/>
    <w:rsid w:val="5A7172EA"/>
    <w:rsid w:val="5B694993"/>
    <w:rsid w:val="5C173D31"/>
    <w:rsid w:val="5C8F6039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link w:val="10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customStyle="1" w:styleId="10">
    <w:name w:val="Char Char Char Char Char Char Char Char Char Char Char Char Char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http://res.tongyi.com/resources/article/student/junior/2010/0427/yuwen/01.files/image019.g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2018-02-07T03:12:06Z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