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rPr>
          <w:rFonts w:ascii="宋体"/>
        </w:rPr>
      </w:pPr>
      <w:bookmarkStart w:id="0" w:name="_GoBack"/>
      <w:r>
        <w:rPr>
          <w:rFonts w:ascii="宋体" w:hAnsi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10617200</wp:posOffset>
            </wp:positionV>
            <wp:extent cx="482600" cy="292100"/>
            <wp:effectExtent l="0" t="0" r="12700" b="12700"/>
            <wp:wrapNone/>
            <wp:docPr id="2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宋体" w:hAnsi="宋体"/>
        </w:rPr>
        <w:t>1</w:t>
      </w:r>
      <w:r>
        <w:rPr>
          <w:rFonts w:hint="eastAsia" w:ascii="宋体" w:hAnsi="宋体"/>
        </w:rPr>
        <w:t>．生命和健康是我们最大的财富，下列属于健康的生活方式的是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．远离毒品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．喜欢吸烟、酗酒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．经常不吃早餐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．不愿与人交往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7</w:t>
      </w:r>
      <w:r>
        <w:rPr>
          <w:rFonts w:hint="eastAsia" w:ascii="宋体" w:hAnsi="宋体"/>
        </w:rPr>
        <w:t>．</w:t>
      </w:r>
      <w:r>
        <w:rPr>
          <w:rFonts w:ascii="宋体" w:hAnsi="宋体"/>
        </w:rPr>
        <w:t>2018</w:t>
      </w:r>
      <w:r>
        <w:rPr>
          <w:rFonts w:hint="eastAsia" w:ascii="宋体" w:hAnsi="宋体"/>
        </w:rPr>
        <w:t>年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月，我国重大科研项目</w:t>
      </w:r>
      <w:r>
        <w:rPr>
          <w:rFonts w:ascii="Times New Roman" w:hAnsi="Times New Roman"/>
        </w:rPr>
        <w:t>——</w:t>
      </w:r>
      <w:r>
        <w:rPr>
          <w:rFonts w:hint="eastAsia" w:ascii="宋体" w:hAnsi="宋体"/>
        </w:rPr>
        <w:t>“全自动干细胞诱导培养没备”研制成功。干细胞被医学界称为“万能细胞”，在特定条件下它能再生成人体的其他种类细胞，这体现了细胞的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．分裂能力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．分化能力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．增殖能力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．免疫能力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9</w:t>
      </w:r>
      <w:r>
        <w:rPr>
          <w:rFonts w:hint="eastAsia" w:ascii="宋体" w:hAnsi="宋体"/>
        </w:rPr>
        <w:t>．小柯利用显微镜观察人体口腔上皮细胞临时装片时，要将如图甲所示视野调整到如图乙所示视野，他应该将载玻片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/>
        </w:rPr>
        <w:drawing>
          <wp:inline distT="0" distB="0" distL="114300" distR="114300">
            <wp:extent cx="1733550" cy="933450"/>
            <wp:effectExtent l="0" t="0" r="0" b="0"/>
            <wp:docPr id="2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．向右移动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．向上移动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．向左移动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．向下移动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12</w:t>
      </w:r>
      <w:r>
        <w:rPr>
          <w:rFonts w:hint="eastAsia" w:ascii="宋体" w:hAnsi="宋体"/>
        </w:rPr>
        <w:t>．如图是绿色植物生理活动示意图，下列说法错误的是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/>
        </w:rPr>
        <w:drawing>
          <wp:inline distT="0" distB="0" distL="114300" distR="114300">
            <wp:extent cx="1371600" cy="1276350"/>
            <wp:effectExtent l="0" t="0" r="0" b="0"/>
            <wp:docPr id="2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．若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表示二氧化碳，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表示氧气，则此过程表示植物的光合作用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．若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表示氧气，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表示二氧化碳，它们都是通过气孔进出叶片的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．若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表示水分，则它在植物体内上升的动力主要来</w:t>
      </w:r>
      <w:r>
        <w:rPr>
          <w:rFonts w:hint="eastAsia" w:ascii="宋体"/>
        </w:rPr>
        <w:drawing>
          <wp:inline distT="0" distB="0" distL="114300" distR="114300">
            <wp:extent cx="31115" cy="20320"/>
            <wp:effectExtent l="0" t="0" r="0" b="0"/>
            <wp:docPr id="2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自蒸腾</w:t>
      </w:r>
      <w:r>
        <w:rPr>
          <w:rFonts w:hint="eastAsia" w:ascii="宋体"/>
        </w:rPr>
        <w:drawing>
          <wp:inline distT="0" distB="0" distL="114300" distR="114300">
            <wp:extent cx="31115" cy="17145"/>
            <wp:effectExtent l="0" t="0" r="0" b="0"/>
            <wp:docPr id="2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作用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．若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表示有机物，则它通过木质部向下运输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17</w:t>
      </w:r>
      <w:r>
        <w:rPr>
          <w:rFonts w:hint="eastAsia" w:ascii="宋体" w:hAnsi="宋体"/>
        </w:rPr>
        <w:t>．春天，三衢大地呈现“癫狂柳絮随风舞，轻薄桃花逐水流”般的美景。“柳絮”就是柳树的种子，它是由</w:t>
      </w:r>
      <w:r>
        <w:rPr>
          <w:rFonts w:ascii="Malgun Gothic" w:hAnsi="Malgun Gothic" w:cs="Malgun Gothic"/>
        </w:rPr>
        <w:t>_______</w:t>
      </w:r>
      <w:r>
        <w:rPr>
          <w:rFonts w:hint="eastAsia" w:ascii="宋体" w:hAnsi="宋体"/>
        </w:rPr>
        <w:t>发育而来的；“随风起舞”是指种子被风力带到更遥远的地方播种繁殖，这是柳树</w:t>
      </w:r>
      <w:r>
        <w:rPr>
          <w:rFonts w:ascii="Malgun Gothic" w:hAnsi="Malgun Gothic" w:cs="Malgun Gothic"/>
        </w:rPr>
        <w:t>_______</w:t>
      </w:r>
      <w:r>
        <w:rPr>
          <w:rFonts w:hint="eastAsia" w:ascii="宋体" w:hAnsi="宋体"/>
        </w:rPr>
        <w:t>环境的表现。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22</w:t>
      </w:r>
      <w:r>
        <w:rPr>
          <w:rFonts w:hint="eastAsia" w:ascii="宋体" w:hAnsi="宋体"/>
        </w:rPr>
        <w:t>．人工肾是目前治疗尿毒症的机器，通过将病人的血液引入透析器，利用透析膜将血液中的废物滤过后排出，再将净化后的血液送回病人的静脉中，透析过程如图所示。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/>
        </w:rPr>
        <w:drawing>
          <wp:inline distT="0" distB="0" distL="114300" distR="114300">
            <wp:extent cx="2562860" cy="1524000"/>
            <wp:effectExtent l="0" t="0" r="8890" b="0"/>
            <wp:docPr id="2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6286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）若发现④中有红细胞，则说明透析膜损坏，这相当于肾脏中的</w:t>
      </w:r>
      <w:r>
        <w:rPr>
          <w:rFonts w:ascii="Malgun Gothic" w:hAnsi="Malgun Gothic" w:cs="Malgun Gothic"/>
        </w:rPr>
        <w:t>_______</w:t>
      </w:r>
      <w:r>
        <w:rPr>
          <w:rFonts w:hint="eastAsia" w:ascii="宋体" w:hAnsi="宋体"/>
        </w:rPr>
        <w:t>出现了病变。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）比较②中与①中血液的成分，</w:t>
      </w:r>
      <w:r>
        <w:rPr>
          <w:rFonts w:ascii="Malgun Gothic" w:hAnsi="Malgun Gothic" w:cs="Malgun Gothic"/>
        </w:rPr>
        <w:t>______________</w:t>
      </w:r>
      <w:r>
        <w:rPr>
          <w:rFonts w:hint="eastAsia" w:ascii="宋体" w:hAnsi="宋体"/>
        </w:rPr>
        <w:t>等废物减少了。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）人工肾相当于生物体结构层次中的</w:t>
      </w:r>
      <w:r>
        <w:rPr>
          <w:rFonts w:ascii="Malgun Gothic" w:hAnsi="Malgun Gothic" w:cs="Malgun Gothic"/>
        </w:rPr>
        <w:t>______________</w:t>
      </w:r>
      <w:r>
        <w:rPr>
          <w:rFonts w:hint="eastAsia" w:ascii="Malgun Gothic" w:hAnsi="Malgun Gothic" w:cs="Malgun Gothic"/>
        </w:rPr>
        <w:t>。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25</w:t>
      </w:r>
      <w:r>
        <w:rPr>
          <w:rFonts w:hint="eastAsia" w:ascii="宋体" w:hAnsi="宋体"/>
        </w:rPr>
        <w:t>．小柯看到香烟盒上印有“吸烟有害健康”，于是他利用实验探究“烟草浸出液对种子萌发和幼苗生长的影响。</w:t>
      </w:r>
      <w:r>
        <w:rPr>
          <w:rFonts w:hint="eastAsia" w:ascii="宋体"/>
        </w:rPr>
        <w:t>”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实验材料：黄豆、烟草及其他材料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探究步骤：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Ⅰ．用烟草、蒸馏水制得烟草浸出液（原浸液），浓度视为</w:t>
      </w:r>
      <w:r>
        <w:rPr>
          <w:rFonts w:ascii="宋体" w:hAnsi="宋体"/>
        </w:rPr>
        <w:t>100</w:t>
      </w:r>
      <w:r>
        <w:rPr>
          <w:rFonts w:hint="eastAsia" w:ascii="宋体" w:hAnsi="宋体"/>
        </w:rPr>
        <w:t>％，再通过稀释原浸液得到浓度为</w:t>
      </w:r>
      <w:r>
        <w:rPr>
          <w:rFonts w:ascii="宋体" w:hAnsi="宋体"/>
        </w:rPr>
        <w:t>70</w:t>
      </w:r>
      <w:r>
        <w:rPr>
          <w:rFonts w:hint="eastAsia" w:ascii="宋体" w:hAnsi="宋体"/>
        </w:rPr>
        <w:t>％、</w:t>
      </w:r>
      <w:r>
        <w:rPr>
          <w:rFonts w:ascii="宋体" w:hAnsi="宋体"/>
        </w:rPr>
        <w:t>40</w:t>
      </w:r>
      <w:r>
        <w:rPr>
          <w:rFonts w:hint="eastAsia" w:ascii="宋体" w:hAnsi="宋体"/>
        </w:rPr>
        <w:t>％的浸出液。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Ⅱ．取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个同规格的培养皿，编号为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，并在里面铺上等量的干棉花。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Ⅲ．在每个培养皿中放</w:t>
      </w:r>
      <w:r>
        <w:rPr>
          <w:rFonts w:ascii="宋体" w:hAnsi="宋体"/>
        </w:rPr>
        <w:t>20</w:t>
      </w:r>
      <w:r>
        <w:rPr>
          <w:rFonts w:hint="eastAsia" w:ascii="宋体" w:hAnsi="宋体"/>
        </w:rPr>
        <w:t>粒同样饱满的黄豆，盖上盖子。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Ⅳ．每天定时向各培养皿中喷洒等量、对应浓度的浸出液，并记录数据。其中第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天的数据如下表：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/>
        </w:rPr>
        <w:drawing>
          <wp:inline distT="0" distB="0" distL="114300" distR="114300">
            <wp:extent cx="3534410" cy="1409700"/>
            <wp:effectExtent l="0" t="0" r="8890" b="0"/>
            <wp:docPr id="3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441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）本实验中编号为</w:t>
      </w:r>
      <w:r>
        <w:rPr>
          <w:rFonts w:ascii="Malgun Gothic" w:hAnsi="Malgun Gothic" w:cs="Malgun Gothic"/>
        </w:rPr>
        <w:t>_______</w:t>
      </w:r>
      <w:r>
        <w:rPr>
          <w:rFonts w:hint="eastAsia" w:ascii="宋体" w:hAnsi="宋体"/>
        </w:rPr>
        <w:t>的培养皿作为对照组。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）步骤Ⅱ中的棉花不预先湿润的原因是</w:t>
      </w:r>
      <w:r>
        <w:rPr>
          <w:rFonts w:ascii="Malgun Gothic" w:hAnsi="Malgun Gothic" w:cs="Malgun Gothic"/>
        </w:rPr>
        <w:t>____________________________</w:t>
      </w:r>
      <w:r>
        <w:rPr>
          <w:rFonts w:hint="eastAsia" w:ascii="Malgun Gothic" w:hAnsi="Malgun Gothic" w:cs="Malgun Gothic"/>
        </w:rPr>
        <w:t>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）分析表中数据，能得出的结论是</w:t>
      </w:r>
      <w:r>
        <w:rPr>
          <w:rFonts w:ascii="Malgun Gothic" w:hAnsi="Malgun Gothic" w:cs="Malgun Gothic"/>
        </w:rPr>
        <w:t>___________________________________</w:t>
      </w:r>
      <w:r>
        <w:rPr>
          <w:rFonts w:hint="eastAsia" w:ascii="宋体" w:hAnsi="宋体"/>
        </w:rPr>
        <w:t>。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3</w:t>
      </w:r>
      <w:r>
        <w:rPr>
          <w:rFonts w:hint="eastAsia" w:ascii="宋体"/>
        </w:rPr>
        <w:drawing>
          <wp:inline distT="0" distB="0" distL="114300" distR="114300">
            <wp:extent cx="31115" cy="10160"/>
            <wp:effectExtent l="0" t="0" r="0" b="0"/>
            <wp:docPr id="3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0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/>
        </w:rPr>
        <w:t>0</w:t>
      </w:r>
      <w:r>
        <w:rPr>
          <w:rFonts w:hint="eastAsia" w:ascii="宋体" w:hAnsi="宋体"/>
        </w:rPr>
        <w:t>．杨梅酸甜爽口，是人们喜爱的水果之一，但它的保鲜期很短，通常只有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天。为延长其保鲜期，人们常常将杨梅放在保鲜袋中，扎口后再置于冰箱里冷威。请结合所学知识，解释杨梅这样保存能延长保鲜期的原因。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/>
        </w:rPr>
        <w:drawing>
          <wp:inline distT="0" distB="0" distL="114300" distR="114300">
            <wp:extent cx="1019175" cy="847725"/>
            <wp:effectExtent l="0" t="0" r="9525" b="9525"/>
            <wp:docPr id="32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31</w:t>
      </w:r>
      <w:r>
        <w:rPr>
          <w:rFonts w:hint="eastAsia" w:ascii="宋体" w:hAnsi="宋体"/>
        </w:rPr>
        <w:t>．美国三位遗传学家利用果蝇作为模式动物（研究材料）发现了控制生物钟的分子机制，从而获得</w:t>
      </w:r>
      <w:r>
        <w:rPr>
          <w:rFonts w:ascii="宋体" w:hAnsi="宋体"/>
        </w:rPr>
        <w:t>2017</w:t>
      </w:r>
      <w:r>
        <w:rPr>
          <w:rFonts w:hint="eastAsia" w:ascii="宋体" w:hAnsi="宋体"/>
        </w:rPr>
        <w:t>年诺贝尔生理学或医学奖。这已是果蝇第五次帮助科学家们赢得诺贝尔奖。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/>
        </w:rPr>
        <w:drawing>
          <wp:inline distT="0" distB="0" distL="114300" distR="114300">
            <wp:extent cx="5144135" cy="1485900"/>
            <wp:effectExtent l="0" t="0" r="18415" b="0"/>
            <wp:docPr id="33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）根据乙图分析，果蝇在甲图检索表中对应的是</w:t>
      </w:r>
      <w:r>
        <w:rPr>
          <w:rFonts w:ascii="Malgun Gothic" w:hAnsi="Malgun Gothic" w:cs="Malgun Gothic"/>
        </w:rPr>
        <w:t>_______</w:t>
      </w:r>
      <w:r>
        <w:rPr>
          <w:rFonts w:hint="eastAsia" w:ascii="宋体" w:hAnsi="宋体"/>
        </w:rPr>
        <w:t>（填字母）。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）果蝇有圆眼和棒眼，红眼和白眼等一系列性状，它们是由</w:t>
      </w:r>
      <w:r>
        <w:rPr>
          <w:rFonts w:ascii="Malgun Gothic" w:hAnsi="Malgun Gothic" w:cs="Malgun Gothic"/>
        </w:rPr>
        <w:t>_______</w:t>
      </w:r>
      <w:r>
        <w:rPr>
          <w:rFonts w:hint="eastAsia" w:ascii="宋体" w:hAnsi="宋体"/>
        </w:rPr>
        <w:t>决定的。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/>
        </w:rPr>
        <w:drawing>
          <wp:inline distT="0" distB="0" distL="114300" distR="114300">
            <wp:extent cx="31115" cy="13970"/>
            <wp:effectExtent l="0" t="0" r="0" b="0"/>
            <wp:docPr id="26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）果蝇的下列特点，能让它成为遗传学研究最佳模式动物的有（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．属于节肢动物中的昆虫类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．主要以腐烂的水果和植物体为食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．染色体数目少，只有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对，便于研究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．繁殖变异速度很快，一年就可以繁殖</w:t>
      </w:r>
      <w:r>
        <w:rPr>
          <w:rFonts w:ascii="宋体" w:hAnsi="宋体"/>
        </w:rPr>
        <w:t>30</w:t>
      </w:r>
      <w:r>
        <w:rPr>
          <w:rFonts w:hint="eastAsia" w:ascii="宋体" w:hAnsi="宋体"/>
        </w:rPr>
        <w:t>代</w:t>
      </w:r>
    </w:p>
    <w:p>
      <w:pPr>
        <w:bidi w:val="0"/>
        <w:spacing w:line="360" w:lineRule="auto"/>
        <w:rPr>
          <w:rFonts w:ascii="宋体"/>
        </w:rPr>
      </w:pPr>
      <w:r>
        <w:rPr>
          <w:rFonts w:ascii="宋体" w:hAnsi="宋体"/>
        </w:rPr>
        <w:t>34</w:t>
      </w:r>
      <w:r>
        <w:rPr>
          <w:rFonts w:hint="eastAsia" w:ascii="宋体" w:hAnsi="宋体"/>
        </w:rPr>
        <w:t>．衢州是全国生态保护纲要确定的九个生态良好地区之一，是浙江省重要的生态屏障。如图是衢州某农场无废弃物农业生态模式示意图。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/>
        </w:rPr>
        <w:drawing>
          <wp:inline distT="0" distB="0" distL="114300" distR="114300">
            <wp:extent cx="1619250" cy="1276350"/>
            <wp:effectExtent l="0" t="0" r="0" b="0"/>
            <wp:docPr id="22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）该农场中所有的生物可以看作是一个</w:t>
      </w:r>
      <w:r>
        <w:rPr>
          <w:rFonts w:ascii="Malgun Gothic" w:hAnsi="Malgun Gothic" w:cs="Malgun Gothic"/>
        </w:rPr>
        <w:t>_______</w:t>
      </w:r>
      <w:r>
        <w:rPr>
          <w:rFonts w:hint="eastAsia" w:ascii="Malgun Gothic" w:hAnsi="Malgun Gothic" w:cs="Malgun Gothic"/>
        </w:rPr>
        <w:t>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）下列生态系统的自动调节能力由强到弱的顺序是</w:t>
      </w:r>
      <w:r>
        <w:rPr>
          <w:rFonts w:ascii="Malgun Gothic" w:hAnsi="Malgun Gothic" w:cs="Malgun Gothic"/>
        </w:rPr>
        <w:t>_______</w:t>
      </w:r>
      <w:r>
        <w:rPr>
          <w:rFonts w:hint="eastAsia" w:ascii="宋体" w:hAnsi="宋体"/>
        </w:rPr>
        <w:t>（填序号）。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①该农场的农业生态系统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②热带雨林生态系统</w:t>
      </w:r>
    </w:p>
    <w:p>
      <w:pPr>
        <w:bidi w:val="0"/>
        <w:spacing w:line="360" w:lineRule="auto"/>
        <w:rPr>
          <w:rFonts w:ascii="宋体"/>
        </w:rPr>
      </w:pPr>
      <w:r>
        <w:rPr>
          <w:rFonts w:hint="eastAsia" w:ascii="宋体" w:hAnsi="宋体"/>
        </w:rPr>
        <w:t>③小型生态瓶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参考答案</w:t>
      </w:r>
    </w:p>
    <w:p>
      <w:pPr>
        <w:bidi w:val="0"/>
        <w:rPr>
          <w:rFonts w:hint="eastAsia"/>
        </w:rPr>
      </w:pPr>
      <w:r>
        <w:rPr>
          <w:rFonts w:hint="eastAsia"/>
        </w:rPr>
        <w:t>1A  7B  9C  12D</w:t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295400" cy="200025"/>
            <wp:effectExtent l="0" t="0" r="0" b="9525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285490" cy="200025"/>
            <wp:effectExtent l="0" t="0" r="10160" b="9525"/>
            <wp:docPr id="3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854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73675" cy="425450"/>
            <wp:effectExtent l="0" t="0" r="3175" b="12700"/>
            <wp:docPr id="3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72405" cy="989965"/>
            <wp:effectExtent l="0" t="0" r="4445" b="635"/>
            <wp:docPr id="3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790700" cy="200025"/>
            <wp:effectExtent l="0" t="0" r="0" b="9525"/>
            <wp:docPr id="3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 Neue">
    <w:altName w:val="Malgun Gothic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6E4B94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4F456384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2018-07-11T02:40:02Z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