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一、请你选择（</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本大题第1-10小题为思想品德学科选择题，每小题2分，共20分：11-25小题为历史学科选择题，每小题2分，共30分．下列各题的备选答案中，只</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8"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有一项是正确或符合题意的答案．请用2B铅笔将正确选项填涂在答题卡相应题号的字母位置内．）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1．广大青年对五四运动的最好纪念，就是要担负起历史重任，让五四精神放射出更加夺目的时代光芒。对承担责任的代价和回报理解正确的是（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A．付出要考虑得到的回报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B．奉献不计较代价与回报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C．责任只是付出没</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有回报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2．2017 年感动中国人物刘锐，面对强国强军的时代要求，紧跟装备升级步伐，参与完成国产“轰-6K”改装，并和战友们在南海和西太平洋留下新一代“轰-6K”的航迹巡天掠海，为国仗剑，强军兴军的“锐”一代是 （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A．贪图安逸、坐</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10"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享其成的</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11"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一代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B．因循守旧、墨守成规的一代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C．勇担重任、开拓进取的一代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3．2017 年 7 月 1 日，是香港回归祖国 20 周年纪念日。20 年来，</w:t>
      </w:r>
      <w:r>
        <w:rPr>
          <w:rFonts w:hint="eastAsia" w:asciiTheme="minorEastAsia" w:hAnsiTheme="minorEastAsia" w:eastAsiaTheme="minorEastAsia" w:cstheme="minorEastAsia"/>
          <w:color w:val="auto"/>
          <w:sz w:val="24"/>
          <w:szCs w:val="24"/>
        </w:rPr>
        <w:drawing>
          <wp:inline distT="0" distB="0" distL="114300" distR="114300">
            <wp:extent cx="17780" cy="20320"/>
            <wp:effectExtent l="0" t="0" r="0" b="0"/>
            <wp:docPr id="1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香港保持了长期繁荣、稳定和发展，得益于（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A．民族区域自治制度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13"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B．“一国两制”方针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C．社会主义制度的建立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1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．“2018 中国国际大数据产业博览会”在贵州省贵阳市举办期间，习近平总书记专门向大会发来贺信，指出：“当前，以互联网、大数据、人工智能为代表的新一代信息技术日新月异，给各国经济社会发展、国家管理、社会治理、人民生活带来重大而深远的影响。”说明（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A．我国科技水平已适应经济社会发展的要求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B．我国经济社会的发展离不开科学技术进步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C．我国科技水平和世界先进水平已没有差距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5．历经 30 多年的央视春晚，为农历新年这个中华民族最隆重的节日注入了新的民俗元素和时代感。由央视春晚衍变出的各种形式的晚会文化，满足了人民群众的精神文化需要，折射出中国社会文化生活的变迁，春晚文化体现了（</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15"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A．中国人的价值观念和生活方式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B．中国文化引领世界文化的发展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C．人类文化进步与发展的新方向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6．2017 年 10 月 1 日《中华人民共和国国歌法》正式实施，而在《中华人民共和国宪法》第四章“国旗国歌国徽首都”中也有对“国歌”的相关规定，说明《中华人民共和国国歌法》（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A．与《中华人民共和国宪法》没有关系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B．应包含在《中华人民共和国宪法》中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C．是《中华人民共和国宪法》的具体化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1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在社会生活中，危害消费者生命健康的食品、药品等安全问题时有发生。作为消费者，在下列消费行为中不正确的是（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A．盲目的跟随</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1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广告和其他消费者购买商品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B．发现制假售假行为及时向有关部门举报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C．及时向经营者索要消费凭证并注意保存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8．第五届“青春伴夕阳•我心中的新 24 孝”主题评选活动中，孝心被解读为“耐心听父母唠叨”“不顶嘴、勤做事”“在家不要只顾玩手机，多陪爸妈聊聊天”等以下对“孝”理</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1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解正确的是（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A．孝心很简单，就是要事事顺从父母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B．在平等基础上对父母的尊敬和侍奉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C．孝敬父母就只是在物质上赠养父母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9．党的十九人报告提出：实现中华民族伟大复兴是近代以来中华民族最伟大的梦想在中国特色社会主</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19"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义新时代，我国各族人民的共同理想是把我国建设成为（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A．富强民主文明和谐的社会主义现代化国家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B．富强民主文明和谐美丽的社会主义现代化国家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C．富强民主文明和谐美丽的社会主义现代化强国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10．“诗和远方”是人们的美好祝愿、美好期待，而要实现“诗意”抵达，却需要风雨兼程。这段话给我</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1"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们的启示是（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A．实现理想，需要脚踏实地，全力以赴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B．实现理想，只需对人生作出长远规划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C．只要理想是臼己规划的就一定能实现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四、请你参与（第29-30小题．请按题目要求，完成参与任务．每小题6分，本大题共12分．请将答案写在《答题卡》相对应的题号下面．）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11．我国广大人民通过直</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22"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接或间接的方式选出代表，由代表们组成各级人民代表大会，组成国家权力机关。再由国家权力机关产生行政、监察、审判、检察等机关，分别行使管理国家、维护社会秩序的各项权力。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请你参与完成：写出与国家机关相对应的具体机关名称。</w:t>
      </w:r>
    </w:p>
    <w:tbl>
      <w:tblPr>
        <w:tblStyle w:val="13"/>
        <w:tblW w:w="5100" w:type="dxa"/>
        <w:jc w:val="center"/>
        <w:tblInd w:w="30" w:type="dxa"/>
        <w:tblLayout w:type="fixed"/>
        <w:tblCellMar>
          <w:top w:w="15" w:type="dxa"/>
          <w:left w:w="15" w:type="dxa"/>
          <w:bottom w:w="15" w:type="dxa"/>
          <w:right w:w="15" w:type="dxa"/>
        </w:tblCellMar>
      </w:tblPr>
      <w:tblGrid>
        <w:gridCol w:w="2070"/>
        <w:gridCol w:w="3030"/>
      </w:tblGrid>
      <w:tr>
        <w:tblPrEx>
          <w:tblLayout w:type="fixed"/>
          <w:tblCellMar>
            <w:top w:w="15" w:type="dxa"/>
            <w:left w:w="15" w:type="dxa"/>
            <w:bottom w:w="15" w:type="dxa"/>
            <w:right w:w="15" w:type="dxa"/>
          </w:tblCellMar>
        </w:tblPrEx>
        <w:trPr>
          <w:jc w:val="center"/>
        </w:trPr>
        <w:tc>
          <w:tcPr>
            <w:tcW w:w="20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国家机关</w:t>
            </w:r>
          </w:p>
        </w:tc>
        <w:tc>
          <w:tcPr>
            <w:tcW w:w="30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具体机关名称</w:t>
            </w:r>
          </w:p>
        </w:tc>
      </w:tr>
      <w:tr>
        <w:tblPrEx>
          <w:tblLayout w:type="fixed"/>
          <w:tblCellMar>
            <w:top w:w="15" w:type="dxa"/>
            <w:left w:w="15" w:type="dxa"/>
            <w:bottom w:w="15" w:type="dxa"/>
            <w:right w:w="15" w:type="dxa"/>
          </w:tblCellMar>
        </w:tblPrEx>
        <w:trPr>
          <w:jc w:val="center"/>
        </w:trPr>
        <w:tc>
          <w:tcPr>
            <w:tcW w:w="20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【示例】行政机关</w:t>
            </w:r>
          </w:p>
        </w:tc>
        <w:tc>
          <w:tcPr>
            <w:tcW w:w="30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国务院和地方各级人民政府</w:t>
            </w:r>
          </w:p>
        </w:tc>
      </w:tr>
      <w:tr>
        <w:tblPrEx>
          <w:tblLayout w:type="fixed"/>
          <w:tblCellMar>
            <w:top w:w="15" w:type="dxa"/>
            <w:left w:w="15" w:type="dxa"/>
            <w:bottom w:w="15" w:type="dxa"/>
            <w:right w:w="15" w:type="dxa"/>
          </w:tblCellMar>
        </w:tblPrEx>
        <w:trPr>
          <w:jc w:val="center"/>
        </w:trPr>
        <w:tc>
          <w:tcPr>
            <w:tcW w:w="20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监察机关</w:t>
            </w:r>
          </w:p>
        </w:tc>
        <w:tc>
          <w:tcPr>
            <w:tcW w:w="30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w:t>
            </w:r>
          </w:p>
        </w:tc>
      </w:tr>
      <w:tr>
        <w:tblPrEx>
          <w:tblLayout w:type="fixed"/>
          <w:tblCellMar>
            <w:top w:w="15" w:type="dxa"/>
            <w:left w:w="15" w:type="dxa"/>
            <w:bottom w:w="15" w:type="dxa"/>
            <w:right w:w="15" w:type="dxa"/>
          </w:tblCellMar>
        </w:tblPrEx>
        <w:trPr>
          <w:jc w:val="center"/>
        </w:trPr>
        <w:tc>
          <w:tcPr>
            <w:tcW w:w="20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审判机关</w:t>
            </w:r>
          </w:p>
        </w:tc>
        <w:tc>
          <w:tcPr>
            <w:tcW w:w="30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w:t>
            </w:r>
          </w:p>
        </w:tc>
      </w:tr>
      <w:tr>
        <w:tblPrEx>
          <w:tblLayout w:type="fixed"/>
          <w:tblCellMar>
            <w:top w:w="15" w:type="dxa"/>
            <w:left w:w="15" w:type="dxa"/>
            <w:bottom w:w="15" w:type="dxa"/>
            <w:right w:w="15" w:type="dxa"/>
          </w:tblCellMar>
        </w:tblPrEx>
        <w:trPr>
          <w:jc w:val="center"/>
        </w:trPr>
        <w:tc>
          <w:tcPr>
            <w:tcW w:w="20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检察机关</w:t>
            </w:r>
          </w:p>
        </w:tc>
        <w:tc>
          <w:tcPr>
            <w:tcW w:w="30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【答案】（1）监察委员会；（2）人民法院；（3）人民检察院。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12．毒品问题是关系到社会安宁、经济发展、民族兴衰的政治问题。为了打贏“禁毒”这场</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23"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没有硝烟的战争，我们要共同构筑预防毒品的防线。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请你参与完成：从个人、</w:t>
      </w:r>
      <w:r>
        <w:rPr>
          <w:rFonts w:hint="eastAsia" w:asciiTheme="minorEastAsia" w:hAnsiTheme="minorEastAsia" w:eastAsiaTheme="minorEastAsia" w:cstheme="minorEastAsia"/>
          <w:color w:val="auto"/>
          <w:sz w:val="24"/>
          <w:szCs w:val="24"/>
        </w:rPr>
        <w:drawing>
          <wp:inline distT="0" distB="0" distL="114300" distR="114300">
            <wp:extent cx="17780" cy="20320"/>
            <wp:effectExtent l="0" t="0" r="0" b="0"/>
            <wp:docPr id="24"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家庭、社会三个层面来设防。</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（1）个人：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26"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）家庭：</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（3）社会：</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【答案】（1）我们要树立战胜毒品诱惑的决心；主动远离毒品；掌握战胜毒品诱惑的方法。如，转移视线，避开诱因；婉言谢绝朋友，提高自制力；专时专用，改正不良习惯；提高认识，端正动机。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（2）以身作则，尽到家庭保护的责任。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（3）营造青少年健康成长的良好环境，在全社会形成远离毒品的共识。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五、请你回答（第31-33小题．回答时紧扣题意，简明扼要．每小题7分，本大题共21分．请将答案写在《答题卡》相对应的题号下面．）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13．他舍下温暖家庭，主动申请到西藏支教；远超预想的高原反应没有让他放弃，像高原牦牛一样坚忍不拔：一封孩子和家长恳请留下的特殊信函，让他继续留在了雪域，竟已多轮援藏；一周 30 节课，用教育智慧让孩子们在享受学习快乐的同时，在中考中也取得了好成绩；慷慨解囊资助贫困学生，用爱的教育让藏族孩子像格桑花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一样美丽绽放。他是学生心中圣洁的太阳，他就是优秀援藏教师钱维胜。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阅读材料后，请你回答：钱老师有着怎样的雪域情怀？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钱老师的坚持不懈、艰苦奋斗的无私奉献行为是具有强烈社会责任感，是服务社会、奉献社会的体现，不仅积极承担了社会责任，维护了民族团结，加深了汉族和少数民族之间的友谊，有助于他人和社会，还延伸了生命的价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14．请你认真观察图并回答下列问题：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266950" cy="2114550"/>
            <wp:effectExtent l="0" t="0" r="0" b="0"/>
            <wp:docPr id="27"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266950" cy="2114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（1）图反映了什么问题？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（2）请你从政府和个人两个层面提出解决这一</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8"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问题的对策或建议。（各举一例）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【答案】（1）环境问题。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（2）国家：①坚持保护环境和节约资源的基本国策；②实施可持续发展战略；③实施科教兴国战略，鼓励创新，用创新推动循环经济和节能环保产业的发展；</w:t>
      </w:r>
      <w:bookmarkStart w:id="0" w:name="_GoBack"/>
      <w:bookmarkEnd w:id="0"/>
      <w:r>
        <w:rPr>
          <w:rFonts w:hint="eastAsia" w:asciiTheme="minorEastAsia" w:hAnsiTheme="minorEastAsia" w:eastAsiaTheme="minorEastAsia" w:cstheme="minorEastAsia"/>
          <w:color w:val="auto"/>
          <w:sz w:val="24"/>
          <w:szCs w:val="24"/>
        </w:rPr>
        <w:t>④坚持依法治国基本方略，严惩破坏环境的行为；⑤普及环保知识，增强公民的环保意识。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公民：①学习和宣传环保知识，践行低碳生活方式；②从身边小事做起，落实环保行动；③积极向有关部门献计献策；④勇于同各种破坏生态环境的行为作斗争等。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15．2017 年 9 月 2 日，上海地铁 9 号线一名黑衣男子不停地往车厢地上吐痰，旁边的老大爷进行劝阻后，黑衣男子不仅脏话连篇，还变本加厉地继续吐。更奇葩的是，他居然“振振有词”地连续反问老大爷好几遍“你在上海有几套房”。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阅读材料后，请你回答：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（1）从黑衣男子身上你看到了哪些不道德行为？（两点即可）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（2）在社会生活中，你将如何提高自己的思想道德修养？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【答案】（1）不遵守公共规则；语言不文明；不尊重他</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9"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人；缺乏社会公德。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（2）我们要以实际行动弘扬爱国主义精神，坚持以为人民服务为核心、以集体主义为原则、以诚实守信为重点，自觉履行“爱国守法</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30"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、明礼诚信、团结友善、勤俭自强、敬业奉献“的公民基本道德规范，树立以“八荣八耻”为主要内容的社会主义荣辱观，提高思想道德水平和境界，培育文明道德高尚。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六、请你评析（第34题．请运用所学知识作答，要求先判断再说明理由．本题9分．请将答案写在《答题卡》相对应的题号下面．）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16．中国特色社会主义进入新时代，我国社会的主要矛盾已经转化，因此，我国的基本经济制度也要随之转化。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请你对此观点进行评析。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【答案】观点错误。中国特色社会主义进入新时代，我国社会</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31"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的主要矛盾已</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32"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经转化，但我国的社会主义性质决定了必须以公有制经济为主体；我国处于社会主义初级阶段，生产力水</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33"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平低且发展不平衡，与之相适应，必须允许多种所有制经济共同发展。事实证明，坚持公有制为主体，多种所有制经济共同发展的基本经济制度是让中国经济快速发展的基本经济制度，是适合我国的国情的基本经济制度，不能改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七、实践探究（第35题．请阅读材料以后，结合课本有关知识作答．本题13分．请将答案写在《答题卡》相对应的题号下面．）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17．材料一：中国元素，是当今中国人所信守的、符合中国文化认同、代表中国特色的形象、符号、标志和风俗带一路”“神舟飞天”</w:t>
      </w:r>
      <w:r>
        <w:rPr>
          <w:rFonts w:hint="eastAsia" w:asciiTheme="minorEastAsia" w:hAnsiTheme="minorEastAsia" w:eastAsiaTheme="minorEastAsia" w:cstheme="minorEastAsia"/>
          <w:color w:val="auto"/>
          <w:sz w:val="24"/>
          <w:szCs w:val="24"/>
        </w:rPr>
        <w:drawing>
          <wp:inline distT="0" distB="0" distL="114300" distR="114300">
            <wp:extent cx="27940" cy="17780"/>
            <wp:effectExtent l="0" t="0" r="0" b="0"/>
            <wp:docPr id="34"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高铁奔驰”“中国功夫”等中国元素正加快走向世界。饱含着中国精神的中国元素，将推动中国深度融入世界、影响世界。这几年贵州的发展也取得了辉煌的成就，在中国元素走向世界的同时，许多贵州元素也融入其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材料二：如图所示为新时代贵州精神。在党的十九大期间，习近平总书记在参加贵州省代表团讨论时，希望贵州的同志全面贯彻落实党的十九</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35"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大精神，大力培育和弘扬团结奋进、拼搏创新、苦</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36"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干实干、后发赶超的精神，续写新时代贵州发展新篇章。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277360" cy="2896235"/>
            <wp:effectExtent l="0" t="0" r="8890" b="18415"/>
            <wp:docPr id="37"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277360" cy="28962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为开创百姓富、生态美的多彩贵州新未来，我们应从以下四个方面努力：“知贵州”，让世人更加知晓和了解贵州；“来贵州”，吸引更多的人来贵州；“留贵州”，留住贵州发展建设急需人才；“强贵州”，就是把贵州建设成为强省，这是“知贵州”“来贵州”“留贵州”的根本目的与归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仔细阅读材料，运用所学知识，参与完成下列任务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（1）阅读材料一，请列举两例影响世界、走向世界的贵州元素。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（2）阅读材</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38"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料二，请回答：为实现贵州的后发赶超，我们应如何弘扬新时代贵州精神？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（3）阅读材料三，请你从中任选两个方面提出自己的合理化建议。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【答案】（1）苗族刺绣文化，苗族蜡染文化，侗族大歌，侗族鼓楼风雨桥。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（2）①以积极地态度自觉接受贵州精神教育；②积极参加社会实践活动；③在日常学习生活中，从树立爱国主义思想做起，从规范行为习惯做起，从提高基本素质做起，以实际行动弘扬和培育贵州精神。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（3）“来贵州”，实施</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39"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人才强省战略，重视人才培养和发展。“强贵州”，实施科教兴省战略，坚持以经济建设为中心，大力发展生产力，保护环境、节约资源，坚持改革开放，完善基本经济制度和分配制度，调整经济结构，转变发展方式，重点依靠科技管理创新推动经济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79E6104"/>
    <w:rsid w:val="1A3101C8"/>
    <w:rsid w:val="1D55044F"/>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68704B3"/>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2018-09-14T03:28:14Z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